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68" w:rsidRPr="00C8674D" w:rsidRDefault="00F07C03" w:rsidP="00C8674D">
      <w:pPr>
        <w:jc w:val="center"/>
        <w:rPr>
          <w:rFonts w:ascii="Times New Roman" w:hAnsi="Times New Roman" w:cs="Times New Roman"/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4C06">
        <w:rPr>
          <w:rFonts w:ascii="Times New Roman" w:hAnsi="Times New Roman" w:cs="Times New Roman"/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TUBERKULIOZĖ – KLASTINGA LIGA</w:t>
      </w:r>
    </w:p>
    <w:p w:rsidR="00574C06" w:rsidRPr="009A3CE5" w:rsidRDefault="00C8674D" w:rsidP="00574C06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74D">
        <w:rPr>
          <w:rFonts w:ascii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Kvėpavimo organų tuberkuliozė (TB)</w:t>
      </w: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8674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9A3CE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infekcinė liga, kurią sukelia tuberkuliozės </w:t>
      </w:r>
      <w:proofErr w:type="spellStart"/>
      <w:r w:rsidRPr="009A3CE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mikobakterija</w:t>
      </w:r>
      <w:proofErr w:type="spellEnd"/>
      <w:r w:rsidRPr="009A3CE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(TM) (</w:t>
      </w:r>
      <w:proofErr w:type="spellStart"/>
      <w:r w:rsidRPr="009A3CE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Mycobacterium</w:t>
      </w:r>
      <w:proofErr w:type="spellEnd"/>
      <w:r w:rsidRPr="009A3CE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A3CE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tuberculosis</w:t>
      </w:r>
      <w:proofErr w:type="spellEnd"/>
      <w:r w:rsidRPr="009A3CE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), plintanti per orą su dalelėmis. Pagrindinis TM šaltinis yra žmogus, sergantis atvira plaučių TB forma. </w:t>
      </w:r>
      <w:r w:rsidRPr="009A3CE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Tinkamai n</w:t>
      </w:r>
      <w:r w:rsidRPr="009A3CE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egydomas TB sergantis žmogus gali mirti.</w:t>
      </w:r>
    </w:p>
    <w:p w:rsidR="00C8674D" w:rsidRPr="00111108" w:rsidRDefault="00C8674D" w:rsidP="00C8674D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111108">
        <w:rPr>
          <w:rFonts w:ascii="Times New Roman" w:hAnsi="Times New Roman" w:cs="Times New Roman"/>
          <w:color w:val="4472C4" w:themeColor="accent1"/>
          <w:sz w:val="32"/>
          <w:szCs w:val="32"/>
        </w:rPr>
        <w:t>K</w:t>
      </w:r>
      <w:r w:rsidRPr="00111108">
        <w:rPr>
          <w:rFonts w:ascii="Times New Roman" w:hAnsi="Times New Roman" w:cs="Times New Roman"/>
          <w:color w:val="4472C4" w:themeColor="accent1"/>
          <w:sz w:val="32"/>
          <w:szCs w:val="32"/>
        </w:rPr>
        <w:t>vėpavimo organų tuberkuliozės</w:t>
      </w:r>
      <w:r w:rsidRPr="00111108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 požymiai</w:t>
      </w:r>
    </w:p>
    <w:p w:rsidR="00462168" w:rsidRPr="009A3CE5" w:rsidRDefault="00C8674D" w:rsidP="009A3CE5">
      <w:pPr>
        <w:jc w:val="both"/>
        <w:rPr>
          <w:rFonts w:ascii="Times New Roman" w:hAnsi="Times New Roman" w:cs="Times New Roman"/>
          <w:sz w:val="28"/>
          <w:szCs w:val="28"/>
        </w:rPr>
      </w:pPr>
      <w:r w:rsidRPr="009A3CE5">
        <w:rPr>
          <w:rFonts w:ascii="Times New Roman" w:hAnsi="Times New Roman" w:cs="Times New Roman"/>
          <w:sz w:val="28"/>
          <w:szCs w:val="28"/>
        </w:rPr>
        <w:t>Tuberkuliozės požymiai priklauso nuo to, kurioje kūno vietoje dauginasi ligos sukėlėjas. TM dažniausiai pažeidžia plaučius (plaučių tuberkuliozė). Plaučių TB pasireiškia šiais</w:t>
      </w:r>
      <w:r w:rsidRPr="009A3CE5">
        <w:rPr>
          <w:rFonts w:ascii="Times New Roman" w:hAnsi="Times New Roman" w:cs="Times New Roman"/>
          <w:sz w:val="28"/>
          <w:szCs w:val="28"/>
        </w:rPr>
        <w:t xml:space="preserve"> </w:t>
      </w:r>
      <w:r w:rsidRPr="009A3CE5">
        <w:rPr>
          <w:rFonts w:ascii="Times New Roman" w:hAnsi="Times New Roman" w:cs="Times New Roman"/>
          <w:sz w:val="28"/>
          <w:szCs w:val="28"/>
        </w:rPr>
        <w:t>požymiais:</w:t>
      </w:r>
    </w:p>
    <w:tbl>
      <w:tblPr>
        <w:tblStyle w:val="3sraolentel5parykinimas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137A6" w:rsidRPr="00F137A6" w:rsidTr="00F13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28" w:type="dxa"/>
          </w:tcPr>
          <w:p w:rsidR="00C8674D" w:rsidRPr="00F137A6" w:rsidRDefault="007349B6" w:rsidP="009A3CE5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PAGRINDINIAI</w:t>
            </w:r>
          </w:p>
        </w:tc>
        <w:tc>
          <w:tcPr>
            <w:tcW w:w="5228" w:type="dxa"/>
          </w:tcPr>
          <w:p w:rsidR="00C8674D" w:rsidRPr="00F137A6" w:rsidRDefault="007349B6" w:rsidP="009A3C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KITI</w:t>
            </w:r>
          </w:p>
        </w:tc>
      </w:tr>
      <w:tr w:rsidR="00F137A6" w:rsidRPr="00F137A6" w:rsidTr="00F1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C8674D" w:rsidRPr="00F137A6" w:rsidRDefault="00B47E43" w:rsidP="0046216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• </w:t>
            </w: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Sunkus kosulys, trunkantis 3 ar daugiau savaičių;</w:t>
            </w:r>
          </w:p>
        </w:tc>
        <w:tc>
          <w:tcPr>
            <w:tcW w:w="5228" w:type="dxa"/>
          </w:tcPr>
          <w:p w:rsidR="00C8674D" w:rsidRPr="00F137A6" w:rsidRDefault="00B47E43" w:rsidP="0046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F13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Silpnumas ar nuovargis;</w:t>
            </w:r>
          </w:p>
        </w:tc>
      </w:tr>
      <w:tr w:rsidR="00F137A6" w:rsidRPr="00F137A6" w:rsidTr="00F13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C8674D" w:rsidRPr="00F137A6" w:rsidRDefault="00B47E43" w:rsidP="0046216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• </w:t>
            </w: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Skausmas krūtinėje;</w:t>
            </w:r>
          </w:p>
        </w:tc>
        <w:tc>
          <w:tcPr>
            <w:tcW w:w="5228" w:type="dxa"/>
          </w:tcPr>
          <w:p w:rsidR="00C8674D" w:rsidRPr="00F137A6" w:rsidRDefault="00B47E43" w:rsidP="0046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F13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Svorio kritimas;</w:t>
            </w:r>
          </w:p>
        </w:tc>
      </w:tr>
      <w:tr w:rsidR="00F137A6" w:rsidRPr="00F137A6" w:rsidTr="00F1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C8674D" w:rsidRPr="00F137A6" w:rsidRDefault="00B47E43" w:rsidP="0046216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• </w:t>
            </w: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Skreplių ar kraujo atkosėjimas</w:t>
            </w:r>
          </w:p>
        </w:tc>
        <w:tc>
          <w:tcPr>
            <w:tcW w:w="5228" w:type="dxa"/>
          </w:tcPr>
          <w:p w:rsidR="00C8674D" w:rsidRPr="00F137A6" w:rsidRDefault="00B47E43" w:rsidP="0046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F13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Apetito stoka;</w:t>
            </w:r>
          </w:p>
        </w:tc>
      </w:tr>
      <w:tr w:rsidR="00F137A6" w:rsidRPr="00F137A6" w:rsidTr="00F137A6">
        <w:trPr>
          <w:gridBefore w:val="1"/>
          <w:wBefore w:w="52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67ED7" w:rsidRPr="00F137A6" w:rsidRDefault="00467ED7" w:rsidP="0046216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• </w:t>
            </w: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Drebulys;</w:t>
            </w:r>
          </w:p>
        </w:tc>
      </w:tr>
      <w:tr w:rsidR="00F137A6" w:rsidRPr="00F137A6" w:rsidTr="00F137A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2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67ED7" w:rsidRPr="00F137A6" w:rsidRDefault="00467ED7" w:rsidP="0046216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• </w:t>
            </w: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Karščiavimas;</w:t>
            </w:r>
          </w:p>
        </w:tc>
      </w:tr>
      <w:tr w:rsidR="00F137A6" w:rsidRPr="00F137A6" w:rsidTr="00F137A6">
        <w:trPr>
          <w:gridBefore w:val="1"/>
          <w:wBefore w:w="52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67ED7" w:rsidRPr="00F137A6" w:rsidRDefault="00467ED7" w:rsidP="0046216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• </w:t>
            </w: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Naktinis prakaitavimas</w:t>
            </w:r>
          </w:p>
        </w:tc>
      </w:tr>
    </w:tbl>
    <w:p w:rsidR="00F137A6" w:rsidRDefault="00F137A6" w:rsidP="00227F5C">
      <w:pPr>
        <w:rPr>
          <w:rFonts w:ascii="Times New Roman" w:hAnsi="Times New Roman" w:cs="Times New Roman"/>
          <w:color w:val="4472C4" w:themeColor="accent1"/>
          <w:sz w:val="32"/>
          <w:szCs w:val="28"/>
        </w:rPr>
      </w:pPr>
    </w:p>
    <w:p w:rsidR="00227F5C" w:rsidRPr="009A3CE5" w:rsidRDefault="00227F5C" w:rsidP="00227F5C">
      <w:pPr>
        <w:rPr>
          <w:rFonts w:ascii="Times New Roman" w:hAnsi="Times New Roman" w:cs="Times New Roman"/>
          <w:color w:val="4472C4" w:themeColor="accent1"/>
          <w:sz w:val="32"/>
          <w:szCs w:val="28"/>
        </w:rPr>
      </w:pPr>
      <w:r w:rsidRPr="009A3CE5">
        <w:rPr>
          <w:rFonts w:ascii="Times New Roman" w:hAnsi="Times New Roman" w:cs="Times New Roman"/>
          <w:color w:val="4472C4" w:themeColor="accent1"/>
          <w:sz w:val="32"/>
          <w:szCs w:val="28"/>
        </w:rPr>
        <w:t>Kvėpavimo organų tuberkuliozės plitimas</w:t>
      </w:r>
    </w:p>
    <w:p w:rsidR="00227F5C" w:rsidRPr="00F137A6" w:rsidRDefault="00227F5C" w:rsidP="00F137A6">
      <w:pPr>
        <w:jc w:val="both"/>
        <w:rPr>
          <w:rFonts w:ascii="Times New Roman" w:hAnsi="Times New Roman" w:cs="Times New Roman"/>
          <w:sz w:val="28"/>
          <w:szCs w:val="28"/>
        </w:rPr>
      </w:pPr>
      <w:r w:rsidRPr="00F137A6">
        <w:rPr>
          <w:rFonts w:ascii="Times New Roman" w:hAnsi="Times New Roman" w:cs="Times New Roman"/>
          <w:sz w:val="28"/>
          <w:szCs w:val="28"/>
        </w:rPr>
        <w:t xml:space="preserve">Tuberkuliozės </w:t>
      </w:r>
      <w:proofErr w:type="spellStart"/>
      <w:r w:rsidRPr="00F137A6">
        <w:rPr>
          <w:rFonts w:ascii="Times New Roman" w:hAnsi="Times New Roman" w:cs="Times New Roman"/>
          <w:sz w:val="28"/>
          <w:szCs w:val="28"/>
        </w:rPr>
        <w:t>mikobakterijos</w:t>
      </w:r>
      <w:proofErr w:type="spellEnd"/>
      <w:r w:rsidRPr="00F137A6">
        <w:rPr>
          <w:rFonts w:ascii="Times New Roman" w:hAnsi="Times New Roman" w:cs="Times New Roman"/>
          <w:sz w:val="28"/>
          <w:szCs w:val="28"/>
        </w:rPr>
        <w:t xml:space="preserve"> (TM) patenka į orą,  kai plaučių TB sergantis žmogus kalba, kosėja ar čiaudi. TM ore gali išlikti kel</w:t>
      </w:r>
      <w:r w:rsidRPr="00F137A6">
        <w:rPr>
          <w:rFonts w:ascii="Times New Roman" w:hAnsi="Times New Roman" w:cs="Times New Roman"/>
          <w:sz w:val="28"/>
          <w:szCs w:val="28"/>
        </w:rPr>
        <w:t>etą</w:t>
      </w:r>
      <w:r w:rsidRPr="00F137A6">
        <w:rPr>
          <w:rFonts w:ascii="Times New Roman" w:hAnsi="Times New Roman" w:cs="Times New Roman"/>
          <w:sz w:val="28"/>
          <w:szCs w:val="28"/>
        </w:rPr>
        <w:t xml:space="preserve"> valand</w:t>
      </w:r>
      <w:r w:rsidRPr="00F137A6">
        <w:rPr>
          <w:rFonts w:ascii="Times New Roman" w:hAnsi="Times New Roman" w:cs="Times New Roman"/>
          <w:sz w:val="28"/>
          <w:szCs w:val="28"/>
        </w:rPr>
        <w:t>ų</w:t>
      </w:r>
      <w:r w:rsidRPr="00F137A6">
        <w:rPr>
          <w:rFonts w:ascii="Times New Roman" w:hAnsi="Times New Roman" w:cs="Times New Roman"/>
          <w:sz w:val="28"/>
          <w:szCs w:val="28"/>
        </w:rPr>
        <w:t xml:space="preserve"> priklausomai nuo aplinkos sąlygų. Žmogus, įkvėpęs TM užteršto oro, gali tapti infekuotu.</w:t>
      </w:r>
    </w:p>
    <w:p w:rsidR="009A3CE5" w:rsidRPr="00227F5C" w:rsidRDefault="009A3CE5" w:rsidP="00227F5C">
      <w:pPr>
        <w:rPr>
          <w:rFonts w:ascii="Times New Roman" w:hAnsi="Times New Roman" w:cs="Times New Roman"/>
          <w:sz w:val="24"/>
          <w:szCs w:val="24"/>
        </w:rPr>
      </w:pPr>
    </w:p>
    <w:p w:rsidR="00227F5C" w:rsidRPr="00111108" w:rsidRDefault="00227F5C" w:rsidP="00227F5C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111108">
        <w:rPr>
          <w:rFonts w:ascii="Times New Roman" w:hAnsi="Times New Roman" w:cs="Times New Roman"/>
          <w:color w:val="4472C4" w:themeColor="accent1"/>
          <w:sz w:val="32"/>
          <w:szCs w:val="32"/>
        </w:rPr>
        <w:t>S</w:t>
      </w:r>
      <w:r w:rsidRPr="00111108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kirtumas tarp žmogaus </w:t>
      </w:r>
      <w:r w:rsidRPr="00111108">
        <w:rPr>
          <w:rFonts w:ascii="Times New Roman" w:hAnsi="Times New Roman" w:cs="Times New Roman"/>
          <w:i/>
          <w:color w:val="4472C4" w:themeColor="accent1"/>
          <w:sz w:val="32"/>
          <w:szCs w:val="32"/>
        </w:rPr>
        <w:t>užsikrėtusio</w:t>
      </w:r>
      <w:r w:rsidRPr="00111108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 TM ir žmogaus </w:t>
      </w:r>
      <w:r w:rsidRPr="00111108">
        <w:rPr>
          <w:rFonts w:ascii="Times New Roman" w:hAnsi="Times New Roman" w:cs="Times New Roman"/>
          <w:i/>
          <w:color w:val="4472C4" w:themeColor="accent1"/>
          <w:sz w:val="32"/>
          <w:szCs w:val="32"/>
        </w:rPr>
        <w:t>sergančio</w:t>
      </w:r>
      <w:r w:rsidRPr="00111108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 TB</w:t>
      </w:r>
    </w:p>
    <w:p w:rsidR="00227F5C" w:rsidRPr="00F137A6" w:rsidRDefault="00227F5C" w:rsidP="00227F5C">
      <w:pPr>
        <w:jc w:val="both"/>
        <w:rPr>
          <w:rFonts w:ascii="Times New Roman" w:hAnsi="Times New Roman" w:cs="Times New Roman"/>
          <w:sz w:val="28"/>
          <w:szCs w:val="28"/>
        </w:rPr>
      </w:pPr>
      <w:r w:rsidRPr="00F137A6">
        <w:rPr>
          <w:rFonts w:ascii="Times New Roman" w:hAnsi="Times New Roman" w:cs="Times New Roman"/>
          <w:i/>
          <w:sz w:val="28"/>
          <w:szCs w:val="28"/>
        </w:rPr>
        <w:t xml:space="preserve">Užsikrėtę </w:t>
      </w:r>
      <w:r w:rsidRPr="00F137A6">
        <w:rPr>
          <w:rFonts w:ascii="Times New Roman" w:hAnsi="Times New Roman" w:cs="Times New Roman"/>
          <w:sz w:val="28"/>
          <w:szCs w:val="28"/>
        </w:rPr>
        <w:t xml:space="preserve">asmenys savo organizme turi TM, bet jos nėra aktyvios ir nesukelia ligos, nepasireiškia TB būdingi požymiai ir žmogus neplatina ligos sukėlėjo. Nustatyta, </w:t>
      </w:r>
      <w:r w:rsidRPr="00F137A6">
        <w:rPr>
          <w:rFonts w:ascii="Times New Roman" w:hAnsi="Times New Roman" w:cs="Times New Roman"/>
          <w:sz w:val="28"/>
          <w:szCs w:val="28"/>
        </w:rPr>
        <w:t>jog</w:t>
      </w:r>
      <w:r w:rsidRPr="00F137A6">
        <w:rPr>
          <w:rFonts w:ascii="Times New Roman" w:hAnsi="Times New Roman" w:cs="Times New Roman"/>
          <w:sz w:val="28"/>
          <w:szCs w:val="28"/>
        </w:rPr>
        <w:t xml:space="preserve"> tik dalis užsikrėtusių asmenų (5-10 proc.) gali susirgti ar suserga TB.</w:t>
      </w:r>
    </w:p>
    <w:p w:rsidR="00111108" w:rsidRPr="00F137A6" w:rsidRDefault="00227F5C" w:rsidP="00227F5C">
      <w:pPr>
        <w:jc w:val="both"/>
        <w:rPr>
          <w:rFonts w:ascii="Times New Roman" w:hAnsi="Times New Roman" w:cs="Times New Roman"/>
          <w:sz w:val="28"/>
          <w:szCs w:val="28"/>
        </w:rPr>
      </w:pPr>
      <w:r w:rsidRPr="00F137A6">
        <w:rPr>
          <w:rFonts w:ascii="Times New Roman" w:hAnsi="Times New Roman" w:cs="Times New Roman"/>
          <w:i/>
          <w:sz w:val="28"/>
          <w:szCs w:val="28"/>
        </w:rPr>
        <w:t>Sergančių</w:t>
      </w:r>
      <w:r w:rsidRPr="00F137A6">
        <w:rPr>
          <w:rFonts w:ascii="Times New Roman" w:hAnsi="Times New Roman" w:cs="Times New Roman"/>
          <w:sz w:val="28"/>
          <w:szCs w:val="28"/>
        </w:rPr>
        <w:t xml:space="preserve"> TB žmonių organizme bakterijos aktyviai dauginasi,</w:t>
      </w:r>
      <w:r w:rsidRPr="00F137A6">
        <w:rPr>
          <w:rFonts w:ascii="Times New Roman" w:hAnsi="Times New Roman" w:cs="Times New Roman"/>
          <w:sz w:val="28"/>
          <w:szCs w:val="28"/>
        </w:rPr>
        <w:t xml:space="preserve"> tad</w:t>
      </w:r>
      <w:r w:rsidRPr="00F137A6">
        <w:rPr>
          <w:rFonts w:ascii="Times New Roman" w:hAnsi="Times New Roman" w:cs="Times New Roman"/>
          <w:sz w:val="28"/>
          <w:szCs w:val="28"/>
        </w:rPr>
        <w:t xml:space="preserve"> jiems pasireiškia TB būdingi simptomai</w:t>
      </w:r>
      <w:r w:rsidRPr="00F137A6">
        <w:rPr>
          <w:rFonts w:ascii="Times New Roman" w:hAnsi="Times New Roman" w:cs="Times New Roman"/>
          <w:sz w:val="28"/>
          <w:szCs w:val="28"/>
        </w:rPr>
        <w:t xml:space="preserve"> ir</w:t>
      </w:r>
      <w:r w:rsidRPr="00F137A6">
        <w:rPr>
          <w:rFonts w:ascii="Times New Roman" w:hAnsi="Times New Roman" w:cs="Times New Roman"/>
          <w:sz w:val="28"/>
          <w:szCs w:val="28"/>
        </w:rPr>
        <w:t xml:space="preserve"> kosėdami jie platina užkratą. </w:t>
      </w:r>
    </w:p>
    <w:p w:rsidR="009A3CE5" w:rsidRDefault="009A3CE5" w:rsidP="00227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108" w:rsidRPr="009A3CE5" w:rsidRDefault="00111108" w:rsidP="00227F5C">
      <w:pPr>
        <w:jc w:val="both"/>
        <w:rPr>
          <w:rFonts w:ascii="Times New Roman" w:hAnsi="Times New Roman" w:cs="Times New Roman"/>
          <w:color w:val="4472C4" w:themeColor="accent1"/>
          <w:sz w:val="32"/>
          <w:szCs w:val="32"/>
        </w:rPr>
      </w:pPr>
      <w:bookmarkStart w:id="0" w:name="_GoBack"/>
      <w:bookmarkEnd w:id="0"/>
      <w:r w:rsidRPr="009A3CE5">
        <w:rPr>
          <w:rFonts w:ascii="Times New Roman" w:hAnsi="Times New Roman" w:cs="Times New Roman"/>
          <w:color w:val="4472C4" w:themeColor="accent1"/>
          <w:sz w:val="32"/>
          <w:szCs w:val="32"/>
        </w:rPr>
        <w:t>Profilaktika</w:t>
      </w:r>
    </w:p>
    <w:p w:rsidR="00462168" w:rsidRPr="00F137A6" w:rsidRDefault="00227F5C" w:rsidP="00227F5C">
      <w:pPr>
        <w:jc w:val="both"/>
        <w:rPr>
          <w:rFonts w:ascii="Times New Roman" w:hAnsi="Times New Roman" w:cs="Times New Roman"/>
          <w:sz w:val="28"/>
          <w:szCs w:val="28"/>
        </w:rPr>
      </w:pPr>
      <w:r w:rsidRPr="00F137A6">
        <w:rPr>
          <w:rFonts w:ascii="Times New Roman" w:hAnsi="Times New Roman" w:cs="Times New Roman"/>
          <w:sz w:val="28"/>
          <w:szCs w:val="28"/>
        </w:rPr>
        <w:t>TB dažniausiai užsikrečiama, jei</w:t>
      </w:r>
      <w:r w:rsidRPr="00F137A6">
        <w:rPr>
          <w:rFonts w:ascii="Times New Roman" w:hAnsi="Times New Roman" w:cs="Times New Roman"/>
          <w:sz w:val="28"/>
          <w:szCs w:val="28"/>
        </w:rPr>
        <w:t>gu</w:t>
      </w:r>
      <w:r w:rsidRPr="00F137A6">
        <w:rPr>
          <w:rFonts w:ascii="Times New Roman" w:hAnsi="Times New Roman" w:cs="Times New Roman"/>
          <w:sz w:val="28"/>
          <w:szCs w:val="28"/>
        </w:rPr>
        <w:t xml:space="preserve"> yra kasdienis artimas sąlytis su sergančiais asmenimis gyvenamoje aplinkoje, darbe, kitose </w:t>
      </w:r>
      <w:r w:rsidR="00111108" w:rsidRPr="00F137A6">
        <w:rPr>
          <w:rFonts w:ascii="Times New Roman" w:hAnsi="Times New Roman" w:cs="Times New Roman"/>
          <w:sz w:val="28"/>
          <w:szCs w:val="28"/>
        </w:rPr>
        <w:t xml:space="preserve">viešose </w:t>
      </w:r>
      <w:r w:rsidRPr="00F137A6">
        <w:rPr>
          <w:rFonts w:ascii="Times New Roman" w:hAnsi="Times New Roman" w:cs="Times New Roman"/>
          <w:sz w:val="28"/>
          <w:szCs w:val="28"/>
        </w:rPr>
        <w:t>įstaigose</w:t>
      </w:r>
      <w:r w:rsidRPr="00F137A6">
        <w:rPr>
          <w:rFonts w:ascii="Times New Roman" w:hAnsi="Times New Roman" w:cs="Times New Roman"/>
          <w:sz w:val="28"/>
          <w:szCs w:val="28"/>
        </w:rPr>
        <w:t xml:space="preserve"> ir pan</w:t>
      </w:r>
      <w:r w:rsidR="00111108" w:rsidRPr="00F137A6">
        <w:rPr>
          <w:rFonts w:ascii="Times New Roman" w:hAnsi="Times New Roman" w:cs="Times New Roman"/>
          <w:sz w:val="28"/>
          <w:szCs w:val="28"/>
        </w:rPr>
        <w:t xml:space="preserve">. Tad rekomenduojama </w:t>
      </w:r>
      <w:r w:rsidR="00111108" w:rsidRPr="00F137A6">
        <w:rPr>
          <w:rFonts w:ascii="Times New Roman" w:hAnsi="Times New Roman" w:cs="Times New Roman"/>
          <w:i/>
          <w:sz w:val="28"/>
          <w:szCs w:val="28"/>
        </w:rPr>
        <w:t>1 kartą per metus</w:t>
      </w:r>
      <w:r w:rsidR="00111108" w:rsidRPr="00F137A6">
        <w:rPr>
          <w:rFonts w:ascii="Times New Roman" w:hAnsi="Times New Roman" w:cs="Times New Roman"/>
          <w:sz w:val="28"/>
          <w:szCs w:val="28"/>
        </w:rPr>
        <w:t xml:space="preserve"> pasitikrinti plaučius atliekant plaučių rentgenogramą, net jeigu žmogus jaučiasi gerai. Reikia kreiptis į savo šeimos gydytoją.</w:t>
      </w:r>
    </w:p>
    <w:p w:rsidR="00462168" w:rsidRPr="00111108" w:rsidRDefault="009A3CE5" w:rsidP="004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09065C">
            <wp:simplePos x="0" y="0"/>
            <wp:positionH relativeFrom="margin">
              <wp:posOffset>5874385</wp:posOffset>
            </wp:positionH>
            <wp:positionV relativeFrom="paragraph">
              <wp:posOffset>288290</wp:posOffset>
            </wp:positionV>
            <wp:extent cx="719455" cy="664210"/>
            <wp:effectExtent l="0" t="0" r="4445" b="2540"/>
            <wp:wrapTight wrapText="bothSides">
              <wp:wrapPolygon edited="0">
                <wp:start x="0" y="0"/>
                <wp:lineTo x="0" y="21063"/>
                <wp:lineTo x="21162" y="21063"/>
                <wp:lineTo x="21162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1108" w:rsidRPr="00111108">
        <w:rPr>
          <w:rFonts w:ascii="Times New Roman" w:hAnsi="Times New Roman" w:cs="Times New Roman"/>
          <w:sz w:val="24"/>
          <w:szCs w:val="24"/>
        </w:rPr>
        <w:t xml:space="preserve">Parengė visuomenės sveikatos specialistė, vykdanti sveikatos priežiūrą mokykloje </w:t>
      </w:r>
      <w:proofErr w:type="spellStart"/>
      <w:r w:rsidR="00111108" w:rsidRPr="00111108">
        <w:rPr>
          <w:rFonts w:ascii="Times New Roman" w:hAnsi="Times New Roman" w:cs="Times New Roman"/>
          <w:sz w:val="24"/>
          <w:szCs w:val="24"/>
        </w:rPr>
        <w:t>Darina</w:t>
      </w:r>
      <w:proofErr w:type="spellEnd"/>
      <w:r w:rsidR="00111108" w:rsidRPr="0011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108" w:rsidRPr="00111108">
        <w:rPr>
          <w:rFonts w:ascii="Times New Roman" w:hAnsi="Times New Roman" w:cs="Times New Roman"/>
          <w:sz w:val="24"/>
          <w:szCs w:val="24"/>
        </w:rPr>
        <w:t>Klimaitienė</w:t>
      </w:r>
      <w:proofErr w:type="spellEnd"/>
      <w:r w:rsidR="00111108" w:rsidRPr="00111108">
        <w:rPr>
          <w:rFonts w:ascii="Times New Roman" w:hAnsi="Times New Roman" w:cs="Times New Roman"/>
          <w:sz w:val="24"/>
          <w:szCs w:val="24"/>
        </w:rPr>
        <w:t xml:space="preserve"> pagal www.</w:t>
      </w:r>
      <w:r>
        <w:rPr>
          <w:rFonts w:ascii="Times New Roman" w:hAnsi="Times New Roman" w:cs="Times New Roman"/>
          <w:sz w:val="24"/>
          <w:szCs w:val="24"/>
        </w:rPr>
        <w:t>ulac</w:t>
      </w:r>
      <w:r w:rsidR="00111108" w:rsidRPr="00111108">
        <w:rPr>
          <w:rFonts w:ascii="Times New Roman" w:hAnsi="Times New Roman" w:cs="Times New Roman"/>
          <w:sz w:val="24"/>
          <w:szCs w:val="24"/>
        </w:rPr>
        <w:t xml:space="preserve">.lt  medžiagą. El. paštas: </w:t>
      </w:r>
      <w:proofErr w:type="spellStart"/>
      <w:r w:rsidR="00111108" w:rsidRPr="00111108">
        <w:rPr>
          <w:rFonts w:ascii="Times New Roman" w:hAnsi="Times New Roman" w:cs="Times New Roman"/>
          <w:sz w:val="24"/>
          <w:szCs w:val="24"/>
        </w:rPr>
        <w:t>darina.klimaitienė@sveikatos-biuras.lt</w:t>
      </w:r>
      <w:proofErr w:type="spellEnd"/>
      <w:r w:rsidR="00111108" w:rsidRPr="00111108">
        <w:rPr>
          <w:rFonts w:ascii="Times New Roman" w:hAnsi="Times New Roman" w:cs="Times New Roman"/>
          <w:sz w:val="24"/>
          <w:szCs w:val="24"/>
        </w:rPr>
        <w:t xml:space="preserve">; Mob. tel. +370 67684749  </w:t>
      </w:r>
    </w:p>
    <w:sectPr w:rsidR="00462168" w:rsidRPr="00111108" w:rsidSect="00574C0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03"/>
    <w:rsid w:val="00111108"/>
    <w:rsid w:val="00227F5C"/>
    <w:rsid w:val="00462168"/>
    <w:rsid w:val="00467ED7"/>
    <w:rsid w:val="00574C06"/>
    <w:rsid w:val="007349B6"/>
    <w:rsid w:val="009A3CE5"/>
    <w:rsid w:val="00B47E43"/>
    <w:rsid w:val="00C8674D"/>
    <w:rsid w:val="00E541D0"/>
    <w:rsid w:val="00F07C03"/>
    <w:rsid w:val="00F1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CF24"/>
  <w15:chartTrackingRefBased/>
  <w15:docId w15:val="{929AD0BA-E839-4BBB-A81F-DC6C44CF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8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viesus">
    <w:name w:val="Grid Table Light"/>
    <w:basedOn w:val="prastojilentel"/>
    <w:uiPriority w:val="40"/>
    <w:rsid w:val="00B47E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paprastojilentel">
    <w:name w:val="Plain Table 1"/>
    <w:basedOn w:val="prastojilentel"/>
    <w:uiPriority w:val="41"/>
    <w:rsid w:val="00B47E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B47E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B47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B47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B47E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Vietosrezervavimoenklotekstas">
    <w:name w:val="Placeholder Text"/>
    <w:basedOn w:val="Numatytasispastraiposriftas"/>
    <w:uiPriority w:val="99"/>
    <w:semiHidden/>
    <w:rsid w:val="00B47E43"/>
    <w:rPr>
      <w:color w:val="808080"/>
    </w:rPr>
  </w:style>
  <w:style w:type="table" w:styleId="3sraolentel1parykinimas">
    <w:name w:val="List Table 3 Accent 1"/>
    <w:basedOn w:val="prastojilentel"/>
    <w:uiPriority w:val="48"/>
    <w:rsid w:val="007349B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F137A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sraolentel">
    <w:name w:val="List Table 3"/>
    <w:basedOn w:val="prastojilentel"/>
    <w:uiPriority w:val="48"/>
    <w:rsid w:val="00F137A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F137A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A8F47-2237-4C91-A27F-613DFC3C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2019-02-19T09:36:00Z</dcterms:created>
  <dcterms:modified xsi:type="dcterms:W3CDTF">2019-02-22T07:43:00Z</dcterms:modified>
</cp:coreProperties>
</file>